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5CEBB" w14:textId="3411D1AA" w:rsidR="00BF55C0" w:rsidRPr="00BF55C0" w:rsidRDefault="00BF55C0" w:rsidP="00BF55C0">
      <w:pPr>
        <w:pStyle w:val="Heading1"/>
      </w:pPr>
      <w:r w:rsidRPr="00BF55C0">
        <w:t>Role Description</w:t>
      </w:r>
      <w:r>
        <w:t xml:space="preserve"> – Student Ambassador</w:t>
      </w:r>
    </w:p>
    <w:p w14:paraId="2118B52D" w14:textId="1CD7CB5B" w:rsidR="00BF55C0" w:rsidRPr="00BF55C0" w:rsidRDefault="00BF55C0" w:rsidP="00BF55C0">
      <w:r w:rsidRPr="00BF55C0">
        <w:rPr>
          <w:b/>
          <w:bCs/>
        </w:rPr>
        <w:t>Role:</w:t>
      </w:r>
      <w:r>
        <w:t xml:space="preserve"> </w:t>
      </w:r>
      <w:r w:rsidRPr="00BF55C0">
        <w:t>Student Ambassador, in partnership with OCD Action</w:t>
      </w:r>
    </w:p>
    <w:p w14:paraId="4BEB3FA3" w14:textId="4B533172" w:rsidR="00BF55C0" w:rsidRPr="00BF55C0" w:rsidRDefault="00BF55C0" w:rsidP="00BF55C0">
      <w:r w:rsidRPr="00BF55C0">
        <w:rPr>
          <w:b/>
          <w:bCs/>
        </w:rPr>
        <w:t>Time Commitment:</w:t>
      </w:r>
      <w:r>
        <w:t xml:space="preserve"> </w:t>
      </w:r>
      <w:r w:rsidRPr="00BF55C0">
        <w:t>A minimum commitment of one academic year</w:t>
      </w:r>
    </w:p>
    <w:p w14:paraId="1AF52436" w14:textId="7B93FC70" w:rsidR="00BF55C0" w:rsidRDefault="00BF55C0" w:rsidP="00BF55C0">
      <w:pPr>
        <w:pBdr>
          <w:bottom w:val="single" w:sz="12" w:space="1" w:color="auto"/>
        </w:pBdr>
      </w:pPr>
    </w:p>
    <w:p w14:paraId="497AF6D8" w14:textId="77777777" w:rsidR="00BF55C0" w:rsidRDefault="00BF55C0" w:rsidP="00BF55C0">
      <w:pPr>
        <w:pStyle w:val="Heading2"/>
      </w:pPr>
      <w:r w:rsidRPr="00BF55C0">
        <w:t>About OCD Action</w:t>
      </w:r>
    </w:p>
    <w:p w14:paraId="0D5CA466" w14:textId="77777777" w:rsidR="00BF55C0" w:rsidRDefault="00BF55C0" w:rsidP="00BF55C0">
      <w:r w:rsidRPr="00BF55C0">
        <w:t>OCD Action is the UK’s national charity for people living with Obsessive-Compulsive Disorder (OCD) and their loved ones.</w:t>
      </w:r>
    </w:p>
    <w:p w14:paraId="5F30A713" w14:textId="77777777" w:rsidR="00BF55C0" w:rsidRPr="00BF55C0" w:rsidRDefault="00BF55C0" w:rsidP="00BF55C0"/>
    <w:p w14:paraId="361B8E0F" w14:textId="0FD78065" w:rsidR="00BF55C0" w:rsidRDefault="00BF55C0" w:rsidP="00BF55C0">
      <w:r w:rsidRPr="00BF55C0">
        <w:t xml:space="preserve">We envision a future where OCD is well understood, and everyone </w:t>
      </w:r>
      <w:r>
        <w:t>gets the</w:t>
      </w:r>
      <w:r w:rsidRPr="00BF55C0">
        <w:t xml:space="preserve"> high-quality treatment and support </w:t>
      </w:r>
      <w:r>
        <w:t xml:space="preserve">they need, </w:t>
      </w:r>
      <w:r w:rsidRPr="00BF55C0">
        <w:t>when they need it. Together with the OCD community, we’re working to make this vision a reality.</w:t>
      </w:r>
    </w:p>
    <w:p w14:paraId="0992A7FD" w14:textId="77777777" w:rsidR="00BF55C0" w:rsidRPr="00BF55C0" w:rsidRDefault="00BF55C0" w:rsidP="00BF55C0"/>
    <w:p w14:paraId="5A25A758" w14:textId="77777777" w:rsidR="00BF55C0" w:rsidRPr="00BF55C0" w:rsidRDefault="00BF55C0" w:rsidP="00BF55C0">
      <w:r w:rsidRPr="00BF55C0">
        <w:t>Our goals are to:</w:t>
      </w:r>
    </w:p>
    <w:p w14:paraId="7191C943" w14:textId="77777777" w:rsidR="00BF55C0" w:rsidRPr="00BF55C0" w:rsidRDefault="00BF55C0" w:rsidP="00BF55C0">
      <w:pPr>
        <w:numPr>
          <w:ilvl w:val="0"/>
          <w:numId w:val="1"/>
        </w:numPr>
      </w:pPr>
      <w:r w:rsidRPr="00BF55C0">
        <w:t>Ensure everyone affected by OCD has access to the right treatment and support.</w:t>
      </w:r>
    </w:p>
    <w:p w14:paraId="1E4042A1" w14:textId="6028F959" w:rsidR="00BF55C0" w:rsidRPr="00BF55C0" w:rsidRDefault="00BF55C0" w:rsidP="00BF55C0">
      <w:pPr>
        <w:numPr>
          <w:ilvl w:val="0"/>
          <w:numId w:val="1"/>
        </w:numPr>
      </w:pPr>
      <w:r w:rsidRPr="00BF55C0">
        <w:t>Make sure no one faces OCD alone.</w:t>
      </w:r>
    </w:p>
    <w:p w14:paraId="1DBF448C" w14:textId="0242FA65" w:rsidR="00BF55C0" w:rsidRDefault="00BF55C0" w:rsidP="00BF55C0">
      <w:pPr>
        <w:pBdr>
          <w:bottom w:val="single" w:sz="12" w:space="1" w:color="auto"/>
        </w:pBdr>
      </w:pPr>
    </w:p>
    <w:p w14:paraId="26579007" w14:textId="77777777" w:rsidR="001175F7" w:rsidRPr="001175F7" w:rsidRDefault="001175F7" w:rsidP="001175F7">
      <w:pPr>
        <w:pStyle w:val="Heading2"/>
      </w:pPr>
      <w:r w:rsidRPr="001175F7">
        <w:t>About the Student Ambassador Programme</w:t>
      </w:r>
    </w:p>
    <w:p w14:paraId="1458B456" w14:textId="557E1636" w:rsidR="00A63C01" w:rsidRDefault="00A63C01" w:rsidP="00A63C01">
      <w:pPr>
        <w:pBdr>
          <w:bottom w:val="single" w:sz="12" w:space="1" w:color="auto"/>
        </w:pBdr>
      </w:pPr>
      <w:r w:rsidRPr="00A63C01">
        <w:t>For</w:t>
      </w:r>
      <w:r>
        <w:t xml:space="preserve"> many</w:t>
      </w:r>
      <w:r w:rsidRPr="00A63C01">
        <w:t xml:space="preserve"> students with OCD, university can be an especially challenging time. Misunderstandings about the condition and a lack of tailored support often leave students feeling isolated</w:t>
      </w:r>
      <w:r>
        <w:t xml:space="preserve"> and without the help they need.</w:t>
      </w:r>
    </w:p>
    <w:p w14:paraId="4F62B942" w14:textId="77777777" w:rsidR="00A63C01" w:rsidRPr="00A63C01" w:rsidRDefault="00A63C01" w:rsidP="00A63C01">
      <w:pPr>
        <w:pBdr>
          <w:bottom w:val="single" w:sz="12" w:space="1" w:color="auto"/>
        </w:pBdr>
      </w:pPr>
    </w:p>
    <w:p w14:paraId="2A0B0F06" w14:textId="2054B4A5" w:rsidR="00A63C01" w:rsidRDefault="00A63C01" w:rsidP="00A63C01">
      <w:pPr>
        <w:pBdr>
          <w:bottom w:val="single" w:sz="12" w:space="1" w:color="auto"/>
        </w:pBdr>
      </w:pPr>
      <w:r w:rsidRPr="00A63C01">
        <w:t xml:space="preserve">The </w:t>
      </w:r>
      <w:r w:rsidRPr="00A63C01">
        <w:rPr>
          <w:b/>
          <w:bCs/>
        </w:rPr>
        <w:t>Student Ambassador Programme</w:t>
      </w:r>
      <w:r w:rsidRPr="00A63C01">
        <w:t xml:space="preserve"> was created to address these gaps by ensuring that OCD is better understood and supported within </w:t>
      </w:r>
      <w:r>
        <w:t>universities</w:t>
      </w:r>
      <w:r w:rsidRPr="00A63C01">
        <w:t xml:space="preserve">. By partnering with students who have lived experience, we </w:t>
      </w:r>
      <w:r>
        <w:t xml:space="preserve">want </w:t>
      </w:r>
      <w:r w:rsidRPr="00A63C01">
        <w:t xml:space="preserve">to create a network of advocates who will help raise awareness, improve access to resources, and </w:t>
      </w:r>
      <w:r>
        <w:t>create</w:t>
      </w:r>
      <w:r w:rsidRPr="00A63C01">
        <w:t xml:space="preserve"> a culture where students with OCD feel empowered and less alone.</w:t>
      </w:r>
    </w:p>
    <w:p w14:paraId="1307B168" w14:textId="77777777" w:rsidR="00A63C01" w:rsidRPr="00A63C01" w:rsidRDefault="00A63C01" w:rsidP="00A63C01">
      <w:pPr>
        <w:pBdr>
          <w:bottom w:val="single" w:sz="12" w:space="1" w:color="auto"/>
        </w:pBdr>
      </w:pPr>
    </w:p>
    <w:p w14:paraId="7438C220" w14:textId="6CA2CE91" w:rsidR="001175F7" w:rsidRDefault="00A63C01" w:rsidP="001175F7">
      <w:pPr>
        <w:pBdr>
          <w:bottom w:val="single" w:sz="12" w:space="1" w:color="auto"/>
        </w:pBdr>
      </w:pPr>
      <w:r w:rsidRPr="00A63C01">
        <w:t>This programme is an opportunity to drive real change and build a more inclusive and supportive environment for everyone affected by OCD at university.</w:t>
      </w:r>
      <w:r w:rsidR="001175F7">
        <w:br/>
      </w:r>
    </w:p>
    <w:p w14:paraId="4DB57BF6" w14:textId="3B8EE6CB" w:rsidR="00BF55C0" w:rsidRPr="00BF55C0" w:rsidRDefault="00BF55C0" w:rsidP="00BF55C0">
      <w:pPr>
        <w:pStyle w:val="Heading2"/>
      </w:pPr>
      <w:r w:rsidRPr="00BF55C0">
        <w:t>What Does a Student Ambassador Do?</w:t>
      </w:r>
    </w:p>
    <w:p w14:paraId="466162AF" w14:textId="49BCDAAB" w:rsidR="00BF55C0" w:rsidRPr="00BF55C0" w:rsidRDefault="00BF55C0" w:rsidP="00BF55C0">
      <w:r w:rsidRPr="00BF55C0">
        <w:t>As a Student Ambassador, in partnership with OCD Action, you will take on a pivotal role in improving the understanding and support available for students with OCD at your university.</w:t>
      </w:r>
      <w:r w:rsidR="001175F7">
        <w:br/>
      </w:r>
    </w:p>
    <w:p w14:paraId="2113B702" w14:textId="77777777" w:rsidR="00BF55C0" w:rsidRDefault="00BF55C0" w:rsidP="00BF55C0">
      <w:r w:rsidRPr="00BF55C0">
        <w:t>Your responsibilities will include:</w:t>
      </w:r>
    </w:p>
    <w:p w14:paraId="0B5942FD" w14:textId="77777777" w:rsidR="00BF55C0" w:rsidRPr="00BF55C0" w:rsidRDefault="00BF55C0" w:rsidP="00BF55C0"/>
    <w:p w14:paraId="0C607CA1" w14:textId="77777777" w:rsidR="00BF55C0" w:rsidRPr="00BF55C0" w:rsidRDefault="00BF55C0" w:rsidP="00BF55C0">
      <w:pPr>
        <w:numPr>
          <w:ilvl w:val="0"/>
          <w:numId w:val="3"/>
        </w:numPr>
      </w:pPr>
      <w:r w:rsidRPr="00BF55C0">
        <w:rPr>
          <w:b/>
          <w:bCs/>
        </w:rPr>
        <w:t>Acting as a Point of Contact:</w:t>
      </w:r>
    </w:p>
    <w:p w14:paraId="6C99E91A" w14:textId="77777777" w:rsidR="00BF55C0" w:rsidRPr="00BF55C0" w:rsidRDefault="00BF55C0" w:rsidP="00A63C01">
      <w:pPr>
        <w:numPr>
          <w:ilvl w:val="1"/>
          <w:numId w:val="7"/>
        </w:numPr>
      </w:pPr>
      <w:r w:rsidRPr="00BF55C0">
        <w:t>Share information about OCD Action’s resources and services with students and university staff.</w:t>
      </w:r>
    </w:p>
    <w:p w14:paraId="6790889F" w14:textId="77777777" w:rsidR="00BF55C0" w:rsidRDefault="00BF55C0" w:rsidP="00A63C01">
      <w:pPr>
        <w:numPr>
          <w:ilvl w:val="1"/>
          <w:numId w:val="7"/>
        </w:numPr>
      </w:pPr>
      <w:r w:rsidRPr="00BF55C0">
        <w:lastRenderedPageBreak/>
        <w:t>Collaborate with your university’s Student Support Services (or equivalent) to connect students with appropriate help.</w:t>
      </w:r>
    </w:p>
    <w:p w14:paraId="4795CC7C" w14:textId="77777777" w:rsidR="00BF55C0" w:rsidRPr="00BF55C0" w:rsidRDefault="00BF55C0" w:rsidP="00BF55C0">
      <w:pPr>
        <w:ind w:left="1440"/>
      </w:pPr>
    </w:p>
    <w:p w14:paraId="2ED63778" w14:textId="77777777" w:rsidR="00BF55C0" w:rsidRPr="00BF55C0" w:rsidRDefault="00BF55C0" w:rsidP="00BF55C0">
      <w:pPr>
        <w:numPr>
          <w:ilvl w:val="0"/>
          <w:numId w:val="3"/>
        </w:numPr>
      </w:pPr>
      <w:r w:rsidRPr="00BF55C0">
        <w:rPr>
          <w:b/>
          <w:bCs/>
        </w:rPr>
        <w:t>Raising Awareness Across Campus:</w:t>
      </w:r>
    </w:p>
    <w:p w14:paraId="1982653D" w14:textId="2A767BD6" w:rsidR="00BF55C0" w:rsidRPr="00BF55C0" w:rsidRDefault="001175F7" w:rsidP="00A63C01">
      <w:pPr>
        <w:numPr>
          <w:ilvl w:val="1"/>
          <w:numId w:val="8"/>
        </w:numPr>
      </w:pPr>
      <w:r w:rsidRPr="001175F7">
        <w:t>Work to ensure OCD is represented at your university by sharing posters and materials provided by OCD Action in key locations, highlighting available resources and support.</w:t>
      </w:r>
      <w:r>
        <w:br/>
      </w:r>
    </w:p>
    <w:p w14:paraId="7E172B5D" w14:textId="33C02E5D" w:rsidR="00BF55C0" w:rsidRPr="00BF55C0" w:rsidRDefault="00BF55C0" w:rsidP="00BF55C0">
      <w:pPr>
        <w:numPr>
          <w:ilvl w:val="0"/>
          <w:numId w:val="3"/>
        </w:numPr>
      </w:pPr>
      <w:r w:rsidRPr="00BF55C0">
        <w:rPr>
          <w:b/>
          <w:bCs/>
        </w:rPr>
        <w:t>Organi</w:t>
      </w:r>
      <w:r>
        <w:rPr>
          <w:b/>
          <w:bCs/>
        </w:rPr>
        <w:t>s</w:t>
      </w:r>
      <w:r w:rsidRPr="00BF55C0">
        <w:rPr>
          <w:b/>
          <w:bCs/>
        </w:rPr>
        <w:t>ing and Delivering Events:</w:t>
      </w:r>
    </w:p>
    <w:p w14:paraId="4413BB1C" w14:textId="021BDEE7" w:rsidR="00A63C01" w:rsidRDefault="00BF55C0" w:rsidP="00A63C01">
      <w:pPr>
        <w:numPr>
          <w:ilvl w:val="1"/>
          <w:numId w:val="9"/>
        </w:numPr>
      </w:pPr>
      <w:r w:rsidRPr="00BF55C0">
        <w:t>Participate in a national online webinar, sharing your lived experience and answering questions alongside OCD Action staff (optional).</w:t>
      </w:r>
    </w:p>
    <w:p w14:paraId="48F57F8A" w14:textId="089BB71E" w:rsidR="00A63C01" w:rsidRDefault="00A63C01" w:rsidP="00A63C01">
      <w:pPr>
        <w:pBdr>
          <w:bottom w:val="single" w:sz="12" w:space="1" w:color="auto"/>
        </w:pBdr>
      </w:pPr>
    </w:p>
    <w:p w14:paraId="63804431" w14:textId="2BEF18F1" w:rsidR="00BF55C0" w:rsidRPr="00BF55C0" w:rsidRDefault="00BF55C0" w:rsidP="00BF55C0">
      <w:pPr>
        <w:pStyle w:val="Heading2"/>
      </w:pPr>
      <w:r w:rsidRPr="00BF55C0">
        <w:t>Training and Support Provided</w:t>
      </w:r>
    </w:p>
    <w:p w14:paraId="579141D8" w14:textId="77777777" w:rsidR="00201271" w:rsidRDefault="00201271" w:rsidP="00201271">
      <w:r w:rsidRPr="00201271">
        <w:t>We’ll ensure you feel fully equipped and supported in your role as a Student Ambassador by providing:</w:t>
      </w:r>
    </w:p>
    <w:p w14:paraId="57EB3B3A" w14:textId="77777777" w:rsidR="00201271" w:rsidRPr="00201271" w:rsidRDefault="00201271" w:rsidP="00201271"/>
    <w:p w14:paraId="7A97E5B7" w14:textId="13473709" w:rsidR="00201271" w:rsidRPr="00201271" w:rsidRDefault="00201271" w:rsidP="00201271">
      <w:pPr>
        <w:pStyle w:val="ListParagraph"/>
        <w:numPr>
          <w:ilvl w:val="0"/>
          <w:numId w:val="14"/>
        </w:numPr>
      </w:pPr>
      <w:r w:rsidRPr="00201271">
        <w:rPr>
          <w:b/>
          <w:bCs/>
        </w:rPr>
        <w:t>Comprehensive Training:</w:t>
      </w:r>
    </w:p>
    <w:p w14:paraId="3054A40E" w14:textId="77777777" w:rsidR="00201271" w:rsidRPr="00201271" w:rsidRDefault="00201271" w:rsidP="00201271">
      <w:pPr>
        <w:pStyle w:val="ListParagraph"/>
        <w:numPr>
          <w:ilvl w:val="0"/>
          <w:numId w:val="16"/>
        </w:numPr>
      </w:pPr>
      <w:r w:rsidRPr="00201271">
        <w:t>Build an understanding of the OCD cycle, treatment pathways, and the support services offered by OCD Action.</w:t>
      </w:r>
    </w:p>
    <w:p w14:paraId="3A266941" w14:textId="77777777" w:rsidR="00201271" w:rsidRPr="00201271" w:rsidRDefault="00201271" w:rsidP="00201271">
      <w:pPr>
        <w:pStyle w:val="ListParagraph"/>
        <w:numPr>
          <w:ilvl w:val="0"/>
          <w:numId w:val="16"/>
        </w:numPr>
      </w:pPr>
      <w:r w:rsidRPr="00201271">
        <w:t>Develop confidence in communicating with university staff and students about OCD and how to access support.</w:t>
      </w:r>
    </w:p>
    <w:p w14:paraId="6EA0B6FB" w14:textId="77777777" w:rsidR="00201271" w:rsidRPr="00201271" w:rsidRDefault="00201271" w:rsidP="00201271">
      <w:pPr>
        <w:pStyle w:val="ListParagraph"/>
        <w:numPr>
          <w:ilvl w:val="0"/>
          <w:numId w:val="16"/>
        </w:numPr>
      </w:pPr>
      <w:r w:rsidRPr="00201271">
        <w:t>Learn how to address misconceptions about OCD and provide clear, accurate information.</w:t>
      </w:r>
    </w:p>
    <w:p w14:paraId="65678AEF" w14:textId="77777777" w:rsidR="00201271" w:rsidRDefault="00201271" w:rsidP="00201271">
      <w:pPr>
        <w:pStyle w:val="ListParagraph"/>
        <w:numPr>
          <w:ilvl w:val="0"/>
          <w:numId w:val="16"/>
        </w:numPr>
      </w:pPr>
      <w:r w:rsidRPr="00201271">
        <w:t>Learn how to share your lived experience of OCD safely and within appropriate boundaries.</w:t>
      </w:r>
    </w:p>
    <w:p w14:paraId="529E9BC7" w14:textId="77777777" w:rsidR="00201271" w:rsidRPr="00201271" w:rsidRDefault="00201271" w:rsidP="00201271"/>
    <w:p w14:paraId="5049D55B" w14:textId="0E04D2CD" w:rsidR="00201271" w:rsidRPr="00201271" w:rsidRDefault="00201271" w:rsidP="00201271">
      <w:pPr>
        <w:pStyle w:val="ListParagraph"/>
        <w:numPr>
          <w:ilvl w:val="0"/>
          <w:numId w:val="14"/>
        </w:numPr>
      </w:pPr>
      <w:r w:rsidRPr="00201271">
        <w:rPr>
          <w:b/>
          <w:bCs/>
        </w:rPr>
        <w:t>Ongoing Support:</w:t>
      </w:r>
    </w:p>
    <w:p w14:paraId="3B8AD86E" w14:textId="77777777" w:rsidR="00201271" w:rsidRPr="00201271" w:rsidRDefault="00201271" w:rsidP="00201271">
      <w:pPr>
        <w:pStyle w:val="ListParagraph"/>
        <w:numPr>
          <w:ilvl w:val="0"/>
          <w:numId w:val="17"/>
        </w:numPr>
      </w:pPr>
      <w:r w:rsidRPr="00201271">
        <w:t>Access a dedicated mentor from OCD Action.</w:t>
      </w:r>
    </w:p>
    <w:p w14:paraId="589DBBAB" w14:textId="77777777" w:rsidR="00201271" w:rsidRPr="00201271" w:rsidRDefault="00201271" w:rsidP="00201271">
      <w:pPr>
        <w:pStyle w:val="ListParagraph"/>
        <w:numPr>
          <w:ilvl w:val="0"/>
          <w:numId w:val="17"/>
        </w:numPr>
      </w:pPr>
      <w:r w:rsidRPr="00201271">
        <w:t>Join the OCD Action Student Support Group.</w:t>
      </w:r>
    </w:p>
    <w:p w14:paraId="36356271" w14:textId="77777777" w:rsidR="00201271" w:rsidRDefault="00201271" w:rsidP="00201271">
      <w:pPr>
        <w:pStyle w:val="ListParagraph"/>
        <w:numPr>
          <w:ilvl w:val="0"/>
          <w:numId w:val="17"/>
        </w:numPr>
      </w:pPr>
      <w:r w:rsidRPr="00201271">
        <w:t>Attend monthly online meetups with other ambassadors to share experiences and advice.</w:t>
      </w:r>
    </w:p>
    <w:p w14:paraId="6A4AC1F2" w14:textId="77777777" w:rsidR="00201271" w:rsidRPr="00201271" w:rsidRDefault="00201271" w:rsidP="00201271"/>
    <w:p w14:paraId="390E624B" w14:textId="22FA489D" w:rsidR="00201271" w:rsidRPr="00201271" w:rsidRDefault="00201271" w:rsidP="00201271">
      <w:pPr>
        <w:pStyle w:val="ListParagraph"/>
        <w:numPr>
          <w:ilvl w:val="0"/>
          <w:numId w:val="14"/>
        </w:numPr>
      </w:pPr>
      <w:r w:rsidRPr="00201271">
        <w:rPr>
          <w:b/>
          <w:bCs/>
        </w:rPr>
        <w:t>Resources:</w:t>
      </w:r>
    </w:p>
    <w:p w14:paraId="77DD9788" w14:textId="49034DD5" w:rsidR="00201271" w:rsidRPr="00201271" w:rsidRDefault="00201271" w:rsidP="00201271">
      <w:pPr>
        <w:pStyle w:val="ListParagraph"/>
        <w:numPr>
          <w:ilvl w:val="0"/>
          <w:numId w:val="18"/>
        </w:numPr>
      </w:pPr>
      <w:r w:rsidRPr="00201271">
        <w:t>Receive all materials needed to fulfil</w:t>
      </w:r>
      <w:r>
        <w:t xml:space="preserve"> </w:t>
      </w:r>
      <w:r w:rsidRPr="00201271">
        <w:t>your role, including presentations, posters, and resource packs.</w:t>
      </w:r>
    </w:p>
    <w:p w14:paraId="7B4A6DDD" w14:textId="5DADDCAD" w:rsidR="001175F7" w:rsidRDefault="00201271" w:rsidP="00201271">
      <w:pPr>
        <w:pStyle w:val="ListParagraph"/>
        <w:numPr>
          <w:ilvl w:val="0"/>
          <w:numId w:val="18"/>
        </w:numPr>
      </w:pPr>
      <w:r w:rsidRPr="00201271">
        <w:t>Reimbursement for any expenses related to ambassador activities.</w:t>
      </w:r>
    </w:p>
    <w:p w14:paraId="760F3F1F" w14:textId="1F7283FB" w:rsidR="001175F7" w:rsidRDefault="001175F7" w:rsidP="001175F7">
      <w:pPr>
        <w:pStyle w:val="Heading2"/>
      </w:pPr>
    </w:p>
    <w:p w14:paraId="6E3A8110" w14:textId="77777777" w:rsidR="00A63C01" w:rsidRDefault="00A63C01" w:rsidP="00A63C01"/>
    <w:p w14:paraId="323E217F" w14:textId="4F4733BC" w:rsidR="00A63C01" w:rsidRDefault="00A63C01" w:rsidP="00A63C01"/>
    <w:p w14:paraId="05E6B87A" w14:textId="640E7706" w:rsidR="00A63C01" w:rsidRPr="00A63C01" w:rsidRDefault="005E7E62" w:rsidP="00A63C01">
      <w:pPr>
        <w:pStyle w:val="Heading2"/>
      </w:pPr>
      <w:r>
        <w:lastRenderedPageBreak/>
        <w:br/>
      </w:r>
      <w:r>
        <w:br/>
      </w:r>
      <w:r w:rsidR="00A63C01">
        <w:t>Person Specification</w:t>
      </w:r>
    </w:p>
    <w:tbl>
      <w:tblPr>
        <w:tblStyle w:val="TableGrid"/>
        <w:tblW w:w="0" w:type="auto"/>
        <w:tblLook w:val="04A0" w:firstRow="1" w:lastRow="0" w:firstColumn="1" w:lastColumn="0" w:noHBand="0" w:noVBand="1"/>
      </w:tblPr>
      <w:tblGrid>
        <w:gridCol w:w="6232"/>
        <w:gridCol w:w="2784"/>
      </w:tblGrid>
      <w:tr w:rsidR="00BF55C0" w14:paraId="6DFD3924" w14:textId="77777777" w:rsidTr="001175F7">
        <w:tc>
          <w:tcPr>
            <w:tcW w:w="6232" w:type="dxa"/>
          </w:tcPr>
          <w:p w14:paraId="737CE073" w14:textId="6405A6BD" w:rsidR="00BF55C0" w:rsidRPr="001175F7" w:rsidRDefault="00BF55C0" w:rsidP="00BF55C0">
            <w:pPr>
              <w:rPr>
                <w:b/>
                <w:bCs/>
                <w:sz w:val="28"/>
                <w:szCs w:val="28"/>
              </w:rPr>
            </w:pPr>
            <w:r w:rsidRPr="001175F7">
              <w:rPr>
                <w:b/>
                <w:bCs/>
                <w:sz w:val="28"/>
                <w:szCs w:val="28"/>
              </w:rPr>
              <w:t>Criteria</w:t>
            </w:r>
          </w:p>
        </w:tc>
        <w:tc>
          <w:tcPr>
            <w:tcW w:w="2784" w:type="dxa"/>
          </w:tcPr>
          <w:p w14:paraId="18BB8C2C" w14:textId="6682483F" w:rsidR="00BF55C0" w:rsidRPr="001175F7" w:rsidRDefault="00BF55C0" w:rsidP="00BF55C0">
            <w:pPr>
              <w:rPr>
                <w:b/>
                <w:bCs/>
                <w:sz w:val="28"/>
                <w:szCs w:val="28"/>
              </w:rPr>
            </w:pPr>
            <w:r w:rsidRPr="001175F7">
              <w:rPr>
                <w:b/>
                <w:bCs/>
                <w:sz w:val="28"/>
                <w:szCs w:val="28"/>
              </w:rPr>
              <w:t>Essential/Desirable</w:t>
            </w:r>
          </w:p>
        </w:tc>
      </w:tr>
      <w:tr w:rsidR="00D617DA" w14:paraId="4A8AA58B" w14:textId="77777777" w:rsidTr="002224E3">
        <w:tc>
          <w:tcPr>
            <w:tcW w:w="9016" w:type="dxa"/>
            <w:gridSpan w:val="2"/>
          </w:tcPr>
          <w:p w14:paraId="3357CE1B" w14:textId="6B6CD3E5" w:rsidR="00D617DA" w:rsidRPr="00D617DA" w:rsidRDefault="00D617DA" w:rsidP="00BF55C0">
            <w:pPr>
              <w:rPr>
                <w:b/>
                <w:bCs/>
              </w:rPr>
            </w:pPr>
            <w:r w:rsidRPr="00D617DA">
              <w:rPr>
                <w:b/>
                <w:bCs/>
              </w:rPr>
              <w:t>Knowledge and Experience</w:t>
            </w:r>
          </w:p>
        </w:tc>
      </w:tr>
      <w:tr w:rsidR="00BF55C0" w14:paraId="5B94E07F" w14:textId="77777777" w:rsidTr="001175F7">
        <w:tc>
          <w:tcPr>
            <w:tcW w:w="6232" w:type="dxa"/>
          </w:tcPr>
          <w:p w14:paraId="26860D05" w14:textId="25577A64" w:rsidR="00BF55C0" w:rsidRDefault="00D617DA" w:rsidP="00BF55C0">
            <w:r w:rsidRPr="00BF55C0">
              <w:t>Understanding of OCD, including personal lived experience or strong empathy for those affected.</w:t>
            </w:r>
          </w:p>
        </w:tc>
        <w:tc>
          <w:tcPr>
            <w:tcW w:w="2784" w:type="dxa"/>
          </w:tcPr>
          <w:p w14:paraId="7FAE44DD" w14:textId="7053AB86" w:rsidR="00BF55C0" w:rsidRDefault="00D617DA" w:rsidP="00BF55C0">
            <w:r>
              <w:t>Essential</w:t>
            </w:r>
          </w:p>
        </w:tc>
      </w:tr>
      <w:tr w:rsidR="00BF55C0" w14:paraId="02D969E5" w14:textId="77777777" w:rsidTr="001175F7">
        <w:tc>
          <w:tcPr>
            <w:tcW w:w="6232" w:type="dxa"/>
          </w:tcPr>
          <w:p w14:paraId="79755F0B" w14:textId="24A5C7B9" w:rsidR="00BF55C0" w:rsidRDefault="00D617DA" w:rsidP="00BF55C0">
            <w:r w:rsidRPr="00D617DA">
              <w:t>Familiarity with the OCD cycle and evidence-based treatment pathways (training will be provided).</w:t>
            </w:r>
          </w:p>
        </w:tc>
        <w:tc>
          <w:tcPr>
            <w:tcW w:w="2784" w:type="dxa"/>
          </w:tcPr>
          <w:p w14:paraId="26CC3351" w14:textId="1C352757" w:rsidR="00BF55C0" w:rsidRDefault="00D617DA" w:rsidP="00BF55C0">
            <w:r>
              <w:t>Desirable</w:t>
            </w:r>
          </w:p>
        </w:tc>
      </w:tr>
      <w:tr w:rsidR="00D617DA" w14:paraId="4DDDEA82" w14:textId="77777777" w:rsidTr="00B120A2">
        <w:tc>
          <w:tcPr>
            <w:tcW w:w="9016" w:type="dxa"/>
            <w:gridSpan w:val="2"/>
          </w:tcPr>
          <w:p w14:paraId="19EA557A" w14:textId="7BEE3BFB" w:rsidR="00D617DA" w:rsidRPr="00D617DA" w:rsidRDefault="00D617DA" w:rsidP="00BF55C0">
            <w:pPr>
              <w:rPr>
                <w:b/>
                <w:bCs/>
              </w:rPr>
            </w:pPr>
            <w:r w:rsidRPr="00D617DA">
              <w:rPr>
                <w:b/>
                <w:bCs/>
              </w:rPr>
              <w:t>Skills</w:t>
            </w:r>
          </w:p>
        </w:tc>
      </w:tr>
      <w:tr w:rsidR="00BF55C0" w14:paraId="17B340B2" w14:textId="77777777" w:rsidTr="001175F7">
        <w:tc>
          <w:tcPr>
            <w:tcW w:w="6232" w:type="dxa"/>
          </w:tcPr>
          <w:p w14:paraId="557A581D" w14:textId="4E66E57D" w:rsidR="00BF55C0" w:rsidRDefault="00D617DA" w:rsidP="00BF55C0">
            <w:r w:rsidRPr="00D617DA">
              <w:t>Strong written and verbal communication skills, with the ability to convey information clearly and effectively.</w:t>
            </w:r>
          </w:p>
        </w:tc>
        <w:tc>
          <w:tcPr>
            <w:tcW w:w="2784" w:type="dxa"/>
          </w:tcPr>
          <w:p w14:paraId="51933709" w14:textId="26525F94" w:rsidR="00BF55C0" w:rsidRDefault="00D617DA" w:rsidP="00BF55C0">
            <w:r>
              <w:t>Essential</w:t>
            </w:r>
          </w:p>
        </w:tc>
      </w:tr>
      <w:tr w:rsidR="00D617DA" w14:paraId="6B2AE03C" w14:textId="77777777" w:rsidTr="001175F7">
        <w:tc>
          <w:tcPr>
            <w:tcW w:w="6232" w:type="dxa"/>
          </w:tcPr>
          <w:p w14:paraId="37436B89" w14:textId="79D94D7F" w:rsidR="00D617DA" w:rsidRPr="00D617DA" w:rsidRDefault="00D617DA" w:rsidP="00BF55C0">
            <w:r w:rsidRPr="00D617DA">
              <w:t>Confidence in communicating with diverse groups, including students and university staff.</w:t>
            </w:r>
          </w:p>
        </w:tc>
        <w:tc>
          <w:tcPr>
            <w:tcW w:w="2784" w:type="dxa"/>
          </w:tcPr>
          <w:p w14:paraId="30814B1A" w14:textId="7FE7FE10" w:rsidR="00D617DA" w:rsidRDefault="00D617DA" w:rsidP="00BF55C0">
            <w:r>
              <w:t>Essential</w:t>
            </w:r>
          </w:p>
        </w:tc>
      </w:tr>
      <w:tr w:rsidR="00D617DA" w14:paraId="042D2B08" w14:textId="77777777" w:rsidTr="001175F7">
        <w:tc>
          <w:tcPr>
            <w:tcW w:w="6232" w:type="dxa"/>
          </w:tcPr>
          <w:p w14:paraId="5DDCF545" w14:textId="7D54AAE8" w:rsidR="00D617DA" w:rsidRPr="00D617DA" w:rsidRDefault="00D617DA" w:rsidP="00BF55C0">
            <w:r w:rsidRPr="00D617DA">
              <w:t>Ability to stay organi</w:t>
            </w:r>
            <w:r>
              <w:t>s</w:t>
            </w:r>
            <w:r w:rsidRPr="00D617DA">
              <w:t>ed and manage responsibilities alongside academic commitments.</w:t>
            </w:r>
          </w:p>
        </w:tc>
        <w:tc>
          <w:tcPr>
            <w:tcW w:w="2784" w:type="dxa"/>
          </w:tcPr>
          <w:p w14:paraId="00BA3FC5" w14:textId="23B638ED" w:rsidR="00D617DA" w:rsidRDefault="00D617DA" w:rsidP="00BF55C0">
            <w:r>
              <w:t>Essential</w:t>
            </w:r>
          </w:p>
        </w:tc>
      </w:tr>
      <w:tr w:rsidR="00D617DA" w14:paraId="079CDF67" w14:textId="77777777" w:rsidTr="001175F7">
        <w:tc>
          <w:tcPr>
            <w:tcW w:w="6232" w:type="dxa"/>
          </w:tcPr>
          <w:p w14:paraId="696CFCC5" w14:textId="24584A0B" w:rsidR="00D617DA" w:rsidRPr="00D617DA" w:rsidRDefault="00D617DA" w:rsidP="00BF55C0">
            <w:r w:rsidRPr="00D617DA">
              <w:t>Strong listening skills and the ability to respond sensitively to questions or concerns about OCD.</w:t>
            </w:r>
          </w:p>
        </w:tc>
        <w:tc>
          <w:tcPr>
            <w:tcW w:w="2784" w:type="dxa"/>
          </w:tcPr>
          <w:p w14:paraId="152A0209" w14:textId="4E4CE131" w:rsidR="00D617DA" w:rsidRDefault="00D617DA" w:rsidP="00BF55C0">
            <w:r>
              <w:t>Essential</w:t>
            </w:r>
          </w:p>
        </w:tc>
      </w:tr>
      <w:tr w:rsidR="00D617DA" w14:paraId="70E9D4CF" w14:textId="77777777" w:rsidTr="00622634">
        <w:tc>
          <w:tcPr>
            <w:tcW w:w="9016" w:type="dxa"/>
            <w:gridSpan w:val="2"/>
          </w:tcPr>
          <w:p w14:paraId="238643F5" w14:textId="6D88FD6D" w:rsidR="00D617DA" w:rsidRPr="00D617DA" w:rsidRDefault="00D617DA" w:rsidP="00BF55C0">
            <w:pPr>
              <w:rPr>
                <w:b/>
                <w:bCs/>
              </w:rPr>
            </w:pPr>
            <w:r w:rsidRPr="00D617DA">
              <w:rPr>
                <w:b/>
                <w:bCs/>
              </w:rPr>
              <w:t>Values and Attributes</w:t>
            </w:r>
          </w:p>
        </w:tc>
      </w:tr>
      <w:tr w:rsidR="00D617DA" w14:paraId="2988B6C4" w14:textId="77777777" w:rsidTr="001175F7">
        <w:tc>
          <w:tcPr>
            <w:tcW w:w="6232" w:type="dxa"/>
          </w:tcPr>
          <w:p w14:paraId="668A985C" w14:textId="207EF5E1" w:rsidR="00D617DA" w:rsidRDefault="00D617DA" w:rsidP="00BF55C0">
            <w:r w:rsidRPr="00D617DA">
              <w:t>A non-judg</w:t>
            </w:r>
            <w:r w:rsidR="007D226C">
              <w:t>e</w:t>
            </w:r>
            <w:r w:rsidRPr="00D617DA">
              <w:t>mental, open-minded approach to working with others.</w:t>
            </w:r>
          </w:p>
        </w:tc>
        <w:tc>
          <w:tcPr>
            <w:tcW w:w="2784" w:type="dxa"/>
          </w:tcPr>
          <w:p w14:paraId="6E03F988" w14:textId="7E98FD75" w:rsidR="00D617DA" w:rsidRDefault="00D617DA" w:rsidP="00BF55C0">
            <w:r>
              <w:t>Essential</w:t>
            </w:r>
          </w:p>
        </w:tc>
      </w:tr>
      <w:tr w:rsidR="00D617DA" w14:paraId="4B9AC62B" w14:textId="77777777" w:rsidTr="001175F7">
        <w:tc>
          <w:tcPr>
            <w:tcW w:w="6232" w:type="dxa"/>
          </w:tcPr>
          <w:p w14:paraId="3183817B" w14:textId="2F57E01A" w:rsidR="00D617DA" w:rsidRPr="00D617DA" w:rsidRDefault="00D617DA" w:rsidP="00BF55C0">
            <w:r w:rsidRPr="00D617DA">
              <w:t>Passion for raising awareness and improving understanding of OCD.</w:t>
            </w:r>
          </w:p>
        </w:tc>
        <w:tc>
          <w:tcPr>
            <w:tcW w:w="2784" w:type="dxa"/>
          </w:tcPr>
          <w:p w14:paraId="1D0B0A67" w14:textId="3B1DFE69" w:rsidR="00D617DA" w:rsidRDefault="00D617DA" w:rsidP="00BF55C0">
            <w:r>
              <w:t>Essential</w:t>
            </w:r>
          </w:p>
        </w:tc>
      </w:tr>
      <w:tr w:rsidR="00D617DA" w14:paraId="1286A4CB" w14:textId="77777777" w:rsidTr="001175F7">
        <w:tc>
          <w:tcPr>
            <w:tcW w:w="6232" w:type="dxa"/>
          </w:tcPr>
          <w:p w14:paraId="2C9933B5" w14:textId="53009844" w:rsidR="00D617DA" w:rsidRPr="00D617DA" w:rsidRDefault="00D617DA" w:rsidP="00BF55C0">
            <w:r w:rsidRPr="00D617DA">
              <w:t>Respect for boundaries and an understanding of the importance of referring individuals to appropriate support services.</w:t>
            </w:r>
          </w:p>
        </w:tc>
        <w:tc>
          <w:tcPr>
            <w:tcW w:w="2784" w:type="dxa"/>
          </w:tcPr>
          <w:p w14:paraId="0C6179B4" w14:textId="798392A3" w:rsidR="00D617DA" w:rsidRDefault="00D617DA" w:rsidP="00BF55C0">
            <w:r>
              <w:t>Essential</w:t>
            </w:r>
          </w:p>
        </w:tc>
      </w:tr>
      <w:tr w:rsidR="00D617DA" w14:paraId="5AF0F64D" w14:textId="77777777" w:rsidTr="001175F7">
        <w:tc>
          <w:tcPr>
            <w:tcW w:w="6232" w:type="dxa"/>
          </w:tcPr>
          <w:p w14:paraId="7168E228" w14:textId="37F3F700" w:rsidR="00D617DA" w:rsidRPr="00D617DA" w:rsidRDefault="00D617DA" w:rsidP="00BF55C0">
            <w:r w:rsidRPr="00D617DA">
              <w:t>Willingness to share lived experience of OCD (with training and support provided).</w:t>
            </w:r>
          </w:p>
        </w:tc>
        <w:tc>
          <w:tcPr>
            <w:tcW w:w="2784" w:type="dxa"/>
          </w:tcPr>
          <w:p w14:paraId="5FB91895" w14:textId="18C3E0F4" w:rsidR="00D617DA" w:rsidRDefault="00D617DA" w:rsidP="00BF55C0">
            <w:r>
              <w:t>Desirable</w:t>
            </w:r>
          </w:p>
        </w:tc>
      </w:tr>
    </w:tbl>
    <w:p w14:paraId="365EC8C0" w14:textId="77777777" w:rsidR="00BF55C0" w:rsidRDefault="00BF55C0" w:rsidP="00BF55C0">
      <w:pPr>
        <w:pBdr>
          <w:bottom w:val="single" w:sz="12" w:space="1" w:color="auto"/>
        </w:pBdr>
      </w:pPr>
    </w:p>
    <w:p w14:paraId="22845E2F" w14:textId="27A6F4E7" w:rsidR="005E7E62" w:rsidRDefault="005E7E62" w:rsidP="005E7E62">
      <w:pPr>
        <w:pStyle w:val="Heading2"/>
      </w:pPr>
      <w:r>
        <w:t>Onboarding Process</w:t>
      </w:r>
    </w:p>
    <w:p w14:paraId="53D4DB46" w14:textId="3A88B8F3" w:rsidR="005E7E62" w:rsidRPr="005E7E62" w:rsidRDefault="005E7E62" w:rsidP="005E7E62">
      <w:r w:rsidRPr="005E7E62">
        <w:t>All Student Ambassadors will</w:t>
      </w:r>
      <w:r>
        <w:t xml:space="preserve"> be required </w:t>
      </w:r>
      <w:r w:rsidRPr="005E7E62">
        <w:t>to:</w:t>
      </w:r>
    </w:p>
    <w:p w14:paraId="27ECDCFB" w14:textId="77777777" w:rsidR="005E7E62" w:rsidRPr="005E7E62" w:rsidRDefault="005E7E62" w:rsidP="005E7E62">
      <w:pPr>
        <w:numPr>
          <w:ilvl w:val="0"/>
          <w:numId w:val="19"/>
        </w:numPr>
      </w:pPr>
      <w:r w:rsidRPr="005E7E62">
        <w:t>Attend a Zoom information session to learn more about the role.</w:t>
      </w:r>
    </w:p>
    <w:p w14:paraId="44E646C6" w14:textId="77777777" w:rsidR="005E7E62" w:rsidRPr="005E7E62" w:rsidRDefault="005E7E62" w:rsidP="005E7E62">
      <w:pPr>
        <w:numPr>
          <w:ilvl w:val="0"/>
          <w:numId w:val="19"/>
        </w:numPr>
      </w:pPr>
      <w:r w:rsidRPr="005E7E62">
        <w:t>Complete a registration form to confirm their participation.</w:t>
      </w:r>
    </w:p>
    <w:p w14:paraId="5135FF9B" w14:textId="77777777" w:rsidR="005E7E62" w:rsidRPr="005E7E62" w:rsidRDefault="005E7E62" w:rsidP="005E7E62">
      <w:pPr>
        <w:numPr>
          <w:ilvl w:val="0"/>
          <w:numId w:val="19"/>
        </w:numPr>
      </w:pPr>
      <w:r w:rsidRPr="005E7E62">
        <w:t>Take part in online training sessions to prepare for their role.</w:t>
      </w:r>
    </w:p>
    <w:p w14:paraId="3E2ACD72" w14:textId="77777777" w:rsidR="005E7E62" w:rsidRDefault="005E7E62" w:rsidP="005E7E62">
      <w:pPr>
        <w:pBdr>
          <w:bottom w:val="single" w:sz="12" w:space="1" w:color="auto"/>
        </w:pBdr>
      </w:pPr>
    </w:p>
    <w:p w14:paraId="38385280" w14:textId="07449D17" w:rsidR="005E7E62" w:rsidRDefault="005E7E62" w:rsidP="005E7E62">
      <w:pPr>
        <w:pStyle w:val="Heading2"/>
      </w:pPr>
      <w:r>
        <w:t>Equality, Diversity and Inclusion</w:t>
      </w:r>
    </w:p>
    <w:p w14:paraId="1E729C7C" w14:textId="77777777" w:rsidR="005E7E62" w:rsidRDefault="005E7E62" w:rsidP="005E7E62"/>
    <w:p w14:paraId="2F3D2BC8" w14:textId="63C1D76F" w:rsidR="005E7E62" w:rsidRPr="005E7E62" w:rsidRDefault="005E7E62" w:rsidP="005E7E62">
      <w:r w:rsidRPr="005E7E62">
        <w:t>Equality, diversity, and inclusion are at the heart of OCD Action’s mission. We are fighting for equality of access to treatment for everyone affected by OCD, ensuring they get the support and treatment they need, when they need it.</w:t>
      </w:r>
    </w:p>
    <w:p w14:paraId="242FB562" w14:textId="61797353" w:rsidR="005E7E62" w:rsidRDefault="005E7E62" w:rsidP="005E7E62">
      <w:r w:rsidRPr="005E7E62">
        <w:t xml:space="preserve">We believe diversity drives creativity and improvement, fostering an environment where we can do our best for the OCD community. We are committed to building a team that reflects this diversity by actively working with and seeking to engage people with lived </w:t>
      </w:r>
      <w:r w:rsidRPr="005E7E62">
        <w:lastRenderedPageBreak/>
        <w:t>experience of intersectional disadvantage.</w:t>
      </w:r>
      <w:r>
        <w:br/>
      </w:r>
      <w:r>
        <w:br/>
      </w:r>
      <w:r w:rsidRPr="005E7E62">
        <w:t>By promoting an inclusive culture, we aim to continuously learn, grow, and better serve everyone affected by OCD.</w:t>
      </w:r>
      <w:r>
        <w:br/>
      </w:r>
    </w:p>
    <w:p w14:paraId="3B208A15" w14:textId="77777777" w:rsidR="005E7E62" w:rsidRPr="005E7E62" w:rsidRDefault="005E7E62" w:rsidP="005E7E62">
      <w:pPr>
        <w:pStyle w:val="Heading2"/>
      </w:pPr>
      <w:r w:rsidRPr="005E7E62">
        <w:t>Accessibility and Questions About This Role</w:t>
      </w:r>
    </w:p>
    <w:p w14:paraId="6A5E0F2F" w14:textId="77777777" w:rsidR="005E7E62" w:rsidRDefault="005E7E62" w:rsidP="005E7E62">
      <w:r w:rsidRPr="005E7E62">
        <w:t>We want working in partnership with us to be the best opportunity it can be for you. If you have concerns, questions, or feel there is a part of the application process or role that could be a barrier, please email us to discuss. Where possible, we will work with you to make reasonable adjustments.</w:t>
      </w:r>
    </w:p>
    <w:p w14:paraId="67527BD2" w14:textId="77777777" w:rsidR="005E7E62" w:rsidRPr="005E7E62" w:rsidRDefault="005E7E62" w:rsidP="005E7E62"/>
    <w:p w14:paraId="2BBABD01" w14:textId="6E30AB9D" w:rsidR="0042474D" w:rsidRDefault="005E7E62">
      <w:r w:rsidRPr="005E7E62">
        <w:rPr>
          <w:b/>
          <w:bCs/>
        </w:rPr>
        <w:t>Any questions?</w:t>
      </w:r>
      <w:r w:rsidRPr="005E7E62">
        <w:t xml:space="preserve"> Please feel free to contact us at </w:t>
      </w:r>
      <w:r w:rsidR="0026219A">
        <w:rPr>
          <w:b/>
          <w:bCs/>
        </w:rPr>
        <w:t>students</w:t>
      </w:r>
      <w:r w:rsidRPr="005E7E62">
        <w:rPr>
          <w:b/>
          <w:bCs/>
        </w:rPr>
        <w:t>@ocdaction.org.uk</w:t>
      </w:r>
      <w:r w:rsidRPr="005E7E62">
        <w:t>.</w:t>
      </w:r>
    </w:p>
    <w:sectPr w:rsidR="0042474D">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BF201" w14:textId="77777777" w:rsidR="00006311" w:rsidRDefault="00006311" w:rsidP="005E7E62">
      <w:r>
        <w:separator/>
      </w:r>
    </w:p>
  </w:endnote>
  <w:endnote w:type="continuationSeparator" w:id="0">
    <w:p w14:paraId="103D253C" w14:textId="77777777" w:rsidR="00006311" w:rsidRDefault="00006311" w:rsidP="005E7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1030249"/>
      <w:docPartObj>
        <w:docPartGallery w:val="Page Numbers (Bottom of Page)"/>
        <w:docPartUnique/>
      </w:docPartObj>
    </w:sdtPr>
    <w:sdtContent>
      <w:p w14:paraId="50EF66EE" w14:textId="1208B77F" w:rsidR="005E7E62" w:rsidRDefault="005E7E62" w:rsidP="000128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145085" w14:textId="77777777" w:rsidR="005E7E62" w:rsidRDefault="005E7E62" w:rsidP="005E7E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2292948"/>
      <w:docPartObj>
        <w:docPartGallery w:val="Page Numbers (Bottom of Page)"/>
        <w:docPartUnique/>
      </w:docPartObj>
    </w:sdtPr>
    <w:sdtContent>
      <w:p w14:paraId="3E20A1CA" w14:textId="6B20C8C0" w:rsidR="005E7E62" w:rsidRDefault="005E7E62" w:rsidP="000128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27C6557" w14:textId="77777777" w:rsidR="005E7E62" w:rsidRDefault="005E7E62" w:rsidP="005E7E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232DA" w14:textId="77777777" w:rsidR="00006311" w:rsidRDefault="00006311" w:rsidP="005E7E62">
      <w:r>
        <w:separator/>
      </w:r>
    </w:p>
  </w:footnote>
  <w:footnote w:type="continuationSeparator" w:id="0">
    <w:p w14:paraId="5B83A616" w14:textId="77777777" w:rsidR="00006311" w:rsidRDefault="00006311" w:rsidP="005E7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06F7" w14:textId="470A57B0" w:rsidR="005E7E62" w:rsidRDefault="005E7E62">
    <w:pPr>
      <w:pStyle w:val="Header"/>
    </w:pPr>
    <w:r>
      <w:rPr>
        <w:noProof/>
      </w:rPr>
      <w:drawing>
        <wp:anchor distT="0" distB="0" distL="114300" distR="114300" simplePos="0" relativeHeight="251658240" behindDoc="1" locked="0" layoutInCell="1" allowOverlap="1" wp14:anchorId="72D2DC0B" wp14:editId="0F296216">
          <wp:simplePos x="0" y="0"/>
          <wp:positionH relativeFrom="column">
            <wp:posOffset>5366657</wp:posOffset>
          </wp:positionH>
          <wp:positionV relativeFrom="paragraph">
            <wp:posOffset>-293915</wp:posOffset>
          </wp:positionV>
          <wp:extent cx="1001486" cy="1001486"/>
          <wp:effectExtent l="0" t="0" r="1905" b="1905"/>
          <wp:wrapTight wrapText="bothSides">
            <wp:wrapPolygon edited="0">
              <wp:start x="9040" y="0"/>
              <wp:lineTo x="6848" y="274"/>
              <wp:lineTo x="1644" y="3287"/>
              <wp:lineTo x="1644" y="4383"/>
              <wp:lineTo x="548" y="6848"/>
              <wp:lineTo x="0" y="8492"/>
              <wp:lineTo x="0" y="13149"/>
              <wp:lineTo x="2192" y="18354"/>
              <wp:lineTo x="7670" y="21367"/>
              <wp:lineTo x="9040" y="21367"/>
              <wp:lineTo x="12327" y="21367"/>
              <wp:lineTo x="13697" y="21367"/>
              <wp:lineTo x="19176" y="18354"/>
              <wp:lineTo x="21367" y="13149"/>
              <wp:lineTo x="21367" y="8492"/>
              <wp:lineTo x="19997" y="3561"/>
              <wp:lineTo x="14519" y="274"/>
              <wp:lineTo x="12327" y="0"/>
              <wp:lineTo x="9040" y="0"/>
            </wp:wrapPolygon>
          </wp:wrapTight>
          <wp:docPr id="1160894571" name="Picture 1" descr="A blue circle with yellow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894571" name="Picture 1" descr="A blue circle with yellow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1486" cy="10014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081E"/>
    <w:multiLevelType w:val="multilevel"/>
    <w:tmpl w:val="D988AF8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94EE7"/>
    <w:multiLevelType w:val="multilevel"/>
    <w:tmpl w:val="7144A1A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42259"/>
    <w:multiLevelType w:val="multilevel"/>
    <w:tmpl w:val="25C444E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4C5560"/>
    <w:multiLevelType w:val="multilevel"/>
    <w:tmpl w:val="F724B32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207809"/>
    <w:multiLevelType w:val="multilevel"/>
    <w:tmpl w:val="F724B32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4343EC"/>
    <w:multiLevelType w:val="multilevel"/>
    <w:tmpl w:val="F724B32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6F270F"/>
    <w:multiLevelType w:val="multilevel"/>
    <w:tmpl w:val="663A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6A7438"/>
    <w:multiLevelType w:val="multilevel"/>
    <w:tmpl w:val="8DC8C9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DB4CDB"/>
    <w:multiLevelType w:val="multilevel"/>
    <w:tmpl w:val="7096B7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D7717A"/>
    <w:multiLevelType w:val="multilevel"/>
    <w:tmpl w:val="473C5E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666FBA"/>
    <w:multiLevelType w:val="multilevel"/>
    <w:tmpl w:val="AF1C391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50F4683F"/>
    <w:multiLevelType w:val="multilevel"/>
    <w:tmpl w:val="057A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AB1C1B"/>
    <w:multiLevelType w:val="multilevel"/>
    <w:tmpl w:val="82821AC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1C2613"/>
    <w:multiLevelType w:val="multilevel"/>
    <w:tmpl w:val="663A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644AD5"/>
    <w:multiLevelType w:val="hybridMultilevel"/>
    <w:tmpl w:val="025E2CE4"/>
    <w:lvl w:ilvl="0" w:tplc="037C132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AB3A0A"/>
    <w:multiLevelType w:val="multilevel"/>
    <w:tmpl w:val="AF1C391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6AA05847"/>
    <w:multiLevelType w:val="multilevel"/>
    <w:tmpl w:val="663A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2A32F3"/>
    <w:multiLevelType w:val="multilevel"/>
    <w:tmpl w:val="AF1C391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7F1775E1"/>
    <w:multiLevelType w:val="hybridMultilevel"/>
    <w:tmpl w:val="FE26A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8313290">
    <w:abstractNumId w:val="16"/>
  </w:num>
  <w:num w:numId="2" w16cid:durableId="1313560216">
    <w:abstractNumId w:val="13"/>
  </w:num>
  <w:num w:numId="3" w16cid:durableId="1334188384">
    <w:abstractNumId w:val="9"/>
  </w:num>
  <w:num w:numId="4" w16cid:durableId="1583952582">
    <w:abstractNumId w:val="8"/>
  </w:num>
  <w:num w:numId="5" w16cid:durableId="305935080">
    <w:abstractNumId w:val="6"/>
  </w:num>
  <w:num w:numId="6" w16cid:durableId="824197844">
    <w:abstractNumId w:val="18"/>
  </w:num>
  <w:num w:numId="7" w16cid:durableId="789669729">
    <w:abstractNumId w:val="1"/>
  </w:num>
  <w:num w:numId="8" w16cid:durableId="1746804368">
    <w:abstractNumId w:val="12"/>
  </w:num>
  <w:num w:numId="9" w16cid:durableId="230241716">
    <w:abstractNumId w:val="0"/>
  </w:num>
  <w:num w:numId="10" w16cid:durableId="1558123811">
    <w:abstractNumId w:val="2"/>
  </w:num>
  <w:num w:numId="11" w16cid:durableId="1813208193">
    <w:abstractNumId w:val="5"/>
  </w:num>
  <w:num w:numId="12" w16cid:durableId="641539200">
    <w:abstractNumId w:val="4"/>
  </w:num>
  <w:num w:numId="13" w16cid:durableId="178352142">
    <w:abstractNumId w:val="7"/>
  </w:num>
  <w:num w:numId="14" w16cid:durableId="1384793912">
    <w:abstractNumId w:val="14"/>
  </w:num>
  <w:num w:numId="15" w16cid:durableId="1844859542">
    <w:abstractNumId w:val="3"/>
  </w:num>
  <w:num w:numId="16" w16cid:durableId="213587540">
    <w:abstractNumId w:val="10"/>
  </w:num>
  <w:num w:numId="17" w16cid:durableId="513500096">
    <w:abstractNumId w:val="17"/>
  </w:num>
  <w:num w:numId="18" w16cid:durableId="1947500291">
    <w:abstractNumId w:val="15"/>
  </w:num>
  <w:num w:numId="19" w16cid:durableId="21145204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5C0"/>
    <w:rsid w:val="00006311"/>
    <w:rsid w:val="001175F7"/>
    <w:rsid w:val="00201271"/>
    <w:rsid w:val="00234E19"/>
    <w:rsid w:val="0026219A"/>
    <w:rsid w:val="00262D42"/>
    <w:rsid w:val="002D7939"/>
    <w:rsid w:val="0042474D"/>
    <w:rsid w:val="004C3657"/>
    <w:rsid w:val="00502EE7"/>
    <w:rsid w:val="005D7FE6"/>
    <w:rsid w:val="005E7E62"/>
    <w:rsid w:val="007C2109"/>
    <w:rsid w:val="007D226C"/>
    <w:rsid w:val="008E5808"/>
    <w:rsid w:val="00A63C01"/>
    <w:rsid w:val="00AC0B7D"/>
    <w:rsid w:val="00BD753A"/>
    <w:rsid w:val="00BF55C0"/>
    <w:rsid w:val="00D617DA"/>
    <w:rsid w:val="00E323DA"/>
    <w:rsid w:val="00E81984"/>
    <w:rsid w:val="00FC6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7F377"/>
  <w15:chartTrackingRefBased/>
  <w15:docId w15:val="{1599BB95-537C-1041-8CD7-0613BD57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5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5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5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5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5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5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5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5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5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55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5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5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5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5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5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5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5C0"/>
    <w:rPr>
      <w:rFonts w:eastAsiaTheme="majorEastAsia" w:cstheme="majorBidi"/>
      <w:color w:val="272727" w:themeColor="text1" w:themeTint="D8"/>
    </w:rPr>
  </w:style>
  <w:style w:type="paragraph" w:styleId="Title">
    <w:name w:val="Title"/>
    <w:basedOn w:val="Normal"/>
    <w:next w:val="Normal"/>
    <w:link w:val="TitleChar"/>
    <w:uiPriority w:val="10"/>
    <w:qFormat/>
    <w:rsid w:val="00BF55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5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5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55C0"/>
    <w:rPr>
      <w:i/>
      <w:iCs/>
      <w:color w:val="404040" w:themeColor="text1" w:themeTint="BF"/>
    </w:rPr>
  </w:style>
  <w:style w:type="paragraph" w:styleId="ListParagraph">
    <w:name w:val="List Paragraph"/>
    <w:basedOn w:val="Normal"/>
    <w:uiPriority w:val="34"/>
    <w:qFormat/>
    <w:rsid w:val="00BF55C0"/>
    <w:pPr>
      <w:ind w:left="720"/>
      <w:contextualSpacing/>
    </w:pPr>
  </w:style>
  <w:style w:type="character" w:styleId="IntenseEmphasis">
    <w:name w:val="Intense Emphasis"/>
    <w:basedOn w:val="DefaultParagraphFont"/>
    <w:uiPriority w:val="21"/>
    <w:qFormat/>
    <w:rsid w:val="00BF55C0"/>
    <w:rPr>
      <w:i/>
      <w:iCs/>
      <w:color w:val="0F4761" w:themeColor="accent1" w:themeShade="BF"/>
    </w:rPr>
  </w:style>
  <w:style w:type="paragraph" w:styleId="IntenseQuote">
    <w:name w:val="Intense Quote"/>
    <w:basedOn w:val="Normal"/>
    <w:next w:val="Normal"/>
    <w:link w:val="IntenseQuoteChar"/>
    <w:uiPriority w:val="30"/>
    <w:qFormat/>
    <w:rsid w:val="00BF5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5C0"/>
    <w:rPr>
      <w:i/>
      <w:iCs/>
      <w:color w:val="0F4761" w:themeColor="accent1" w:themeShade="BF"/>
    </w:rPr>
  </w:style>
  <w:style w:type="character" w:styleId="IntenseReference">
    <w:name w:val="Intense Reference"/>
    <w:basedOn w:val="DefaultParagraphFont"/>
    <w:uiPriority w:val="32"/>
    <w:qFormat/>
    <w:rsid w:val="00BF55C0"/>
    <w:rPr>
      <w:b/>
      <w:bCs/>
      <w:smallCaps/>
      <w:color w:val="0F4761" w:themeColor="accent1" w:themeShade="BF"/>
      <w:spacing w:val="5"/>
    </w:rPr>
  </w:style>
  <w:style w:type="character" w:styleId="Hyperlink">
    <w:name w:val="Hyperlink"/>
    <w:basedOn w:val="DefaultParagraphFont"/>
    <w:uiPriority w:val="99"/>
    <w:unhideWhenUsed/>
    <w:rsid w:val="00BF55C0"/>
    <w:rPr>
      <w:color w:val="467886" w:themeColor="hyperlink"/>
      <w:u w:val="single"/>
    </w:rPr>
  </w:style>
  <w:style w:type="character" w:styleId="UnresolvedMention">
    <w:name w:val="Unresolved Mention"/>
    <w:basedOn w:val="DefaultParagraphFont"/>
    <w:uiPriority w:val="99"/>
    <w:semiHidden/>
    <w:unhideWhenUsed/>
    <w:rsid w:val="00BF55C0"/>
    <w:rPr>
      <w:color w:val="605E5C"/>
      <w:shd w:val="clear" w:color="auto" w:fill="E1DFDD"/>
    </w:rPr>
  </w:style>
  <w:style w:type="table" w:styleId="TableGrid">
    <w:name w:val="Table Grid"/>
    <w:basedOn w:val="TableNormal"/>
    <w:uiPriority w:val="39"/>
    <w:rsid w:val="00BF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01271"/>
  </w:style>
  <w:style w:type="paragraph" w:styleId="Header">
    <w:name w:val="header"/>
    <w:basedOn w:val="Normal"/>
    <w:link w:val="HeaderChar"/>
    <w:uiPriority w:val="99"/>
    <w:unhideWhenUsed/>
    <w:rsid w:val="005E7E62"/>
    <w:pPr>
      <w:tabs>
        <w:tab w:val="center" w:pos="4513"/>
        <w:tab w:val="right" w:pos="9026"/>
      </w:tabs>
    </w:pPr>
  </w:style>
  <w:style w:type="character" w:customStyle="1" w:styleId="HeaderChar">
    <w:name w:val="Header Char"/>
    <w:basedOn w:val="DefaultParagraphFont"/>
    <w:link w:val="Header"/>
    <w:uiPriority w:val="99"/>
    <w:rsid w:val="005E7E62"/>
  </w:style>
  <w:style w:type="paragraph" w:styleId="Footer">
    <w:name w:val="footer"/>
    <w:basedOn w:val="Normal"/>
    <w:link w:val="FooterChar"/>
    <w:uiPriority w:val="99"/>
    <w:unhideWhenUsed/>
    <w:rsid w:val="005E7E62"/>
    <w:pPr>
      <w:tabs>
        <w:tab w:val="center" w:pos="4513"/>
        <w:tab w:val="right" w:pos="9026"/>
      </w:tabs>
    </w:pPr>
  </w:style>
  <w:style w:type="character" w:customStyle="1" w:styleId="FooterChar">
    <w:name w:val="Footer Char"/>
    <w:basedOn w:val="DefaultParagraphFont"/>
    <w:link w:val="Footer"/>
    <w:uiPriority w:val="99"/>
    <w:rsid w:val="005E7E62"/>
  </w:style>
  <w:style w:type="character" w:styleId="PageNumber">
    <w:name w:val="page number"/>
    <w:basedOn w:val="DefaultParagraphFont"/>
    <w:uiPriority w:val="99"/>
    <w:semiHidden/>
    <w:unhideWhenUsed/>
    <w:rsid w:val="005E7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25935">
      <w:bodyDiv w:val="1"/>
      <w:marLeft w:val="0"/>
      <w:marRight w:val="0"/>
      <w:marTop w:val="0"/>
      <w:marBottom w:val="0"/>
      <w:divBdr>
        <w:top w:val="none" w:sz="0" w:space="0" w:color="auto"/>
        <w:left w:val="none" w:sz="0" w:space="0" w:color="auto"/>
        <w:bottom w:val="none" w:sz="0" w:space="0" w:color="auto"/>
        <w:right w:val="none" w:sz="0" w:space="0" w:color="auto"/>
      </w:divBdr>
    </w:div>
    <w:div w:id="367223628">
      <w:bodyDiv w:val="1"/>
      <w:marLeft w:val="0"/>
      <w:marRight w:val="0"/>
      <w:marTop w:val="0"/>
      <w:marBottom w:val="0"/>
      <w:divBdr>
        <w:top w:val="none" w:sz="0" w:space="0" w:color="auto"/>
        <w:left w:val="none" w:sz="0" w:space="0" w:color="auto"/>
        <w:bottom w:val="none" w:sz="0" w:space="0" w:color="auto"/>
        <w:right w:val="none" w:sz="0" w:space="0" w:color="auto"/>
      </w:divBdr>
    </w:div>
    <w:div w:id="446121231">
      <w:bodyDiv w:val="1"/>
      <w:marLeft w:val="0"/>
      <w:marRight w:val="0"/>
      <w:marTop w:val="0"/>
      <w:marBottom w:val="0"/>
      <w:divBdr>
        <w:top w:val="none" w:sz="0" w:space="0" w:color="auto"/>
        <w:left w:val="none" w:sz="0" w:space="0" w:color="auto"/>
        <w:bottom w:val="none" w:sz="0" w:space="0" w:color="auto"/>
        <w:right w:val="none" w:sz="0" w:space="0" w:color="auto"/>
      </w:divBdr>
    </w:div>
    <w:div w:id="575406921">
      <w:bodyDiv w:val="1"/>
      <w:marLeft w:val="0"/>
      <w:marRight w:val="0"/>
      <w:marTop w:val="0"/>
      <w:marBottom w:val="0"/>
      <w:divBdr>
        <w:top w:val="none" w:sz="0" w:space="0" w:color="auto"/>
        <w:left w:val="none" w:sz="0" w:space="0" w:color="auto"/>
        <w:bottom w:val="none" w:sz="0" w:space="0" w:color="auto"/>
        <w:right w:val="none" w:sz="0" w:space="0" w:color="auto"/>
      </w:divBdr>
    </w:div>
    <w:div w:id="653145757">
      <w:bodyDiv w:val="1"/>
      <w:marLeft w:val="0"/>
      <w:marRight w:val="0"/>
      <w:marTop w:val="0"/>
      <w:marBottom w:val="0"/>
      <w:divBdr>
        <w:top w:val="none" w:sz="0" w:space="0" w:color="auto"/>
        <w:left w:val="none" w:sz="0" w:space="0" w:color="auto"/>
        <w:bottom w:val="none" w:sz="0" w:space="0" w:color="auto"/>
        <w:right w:val="none" w:sz="0" w:space="0" w:color="auto"/>
      </w:divBdr>
    </w:div>
    <w:div w:id="664822969">
      <w:bodyDiv w:val="1"/>
      <w:marLeft w:val="0"/>
      <w:marRight w:val="0"/>
      <w:marTop w:val="0"/>
      <w:marBottom w:val="0"/>
      <w:divBdr>
        <w:top w:val="none" w:sz="0" w:space="0" w:color="auto"/>
        <w:left w:val="none" w:sz="0" w:space="0" w:color="auto"/>
        <w:bottom w:val="none" w:sz="0" w:space="0" w:color="auto"/>
        <w:right w:val="none" w:sz="0" w:space="0" w:color="auto"/>
      </w:divBdr>
    </w:div>
    <w:div w:id="810827395">
      <w:bodyDiv w:val="1"/>
      <w:marLeft w:val="0"/>
      <w:marRight w:val="0"/>
      <w:marTop w:val="0"/>
      <w:marBottom w:val="0"/>
      <w:divBdr>
        <w:top w:val="none" w:sz="0" w:space="0" w:color="auto"/>
        <w:left w:val="none" w:sz="0" w:space="0" w:color="auto"/>
        <w:bottom w:val="none" w:sz="0" w:space="0" w:color="auto"/>
        <w:right w:val="none" w:sz="0" w:space="0" w:color="auto"/>
      </w:divBdr>
    </w:div>
    <w:div w:id="813302953">
      <w:bodyDiv w:val="1"/>
      <w:marLeft w:val="0"/>
      <w:marRight w:val="0"/>
      <w:marTop w:val="0"/>
      <w:marBottom w:val="0"/>
      <w:divBdr>
        <w:top w:val="none" w:sz="0" w:space="0" w:color="auto"/>
        <w:left w:val="none" w:sz="0" w:space="0" w:color="auto"/>
        <w:bottom w:val="none" w:sz="0" w:space="0" w:color="auto"/>
        <w:right w:val="none" w:sz="0" w:space="0" w:color="auto"/>
      </w:divBdr>
    </w:div>
    <w:div w:id="995917602">
      <w:bodyDiv w:val="1"/>
      <w:marLeft w:val="0"/>
      <w:marRight w:val="0"/>
      <w:marTop w:val="0"/>
      <w:marBottom w:val="0"/>
      <w:divBdr>
        <w:top w:val="none" w:sz="0" w:space="0" w:color="auto"/>
        <w:left w:val="none" w:sz="0" w:space="0" w:color="auto"/>
        <w:bottom w:val="none" w:sz="0" w:space="0" w:color="auto"/>
        <w:right w:val="none" w:sz="0" w:space="0" w:color="auto"/>
      </w:divBdr>
    </w:div>
    <w:div w:id="1157186412">
      <w:bodyDiv w:val="1"/>
      <w:marLeft w:val="0"/>
      <w:marRight w:val="0"/>
      <w:marTop w:val="0"/>
      <w:marBottom w:val="0"/>
      <w:divBdr>
        <w:top w:val="none" w:sz="0" w:space="0" w:color="auto"/>
        <w:left w:val="none" w:sz="0" w:space="0" w:color="auto"/>
        <w:bottom w:val="none" w:sz="0" w:space="0" w:color="auto"/>
        <w:right w:val="none" w:sz="0" w:space="0" w:color="auto"/>
      </w:divBdr>
    </w:div>
    <w:div w:id="1537307547">
      <w:bodyDiv w:val="1"/>
      <w:marLeft w:val="0"/>
      <w:marRight w:val="0"/>
      <w:marTop w:val="0"/>
      <w:marBottom w:val="0"/>
      <w:divBdr>
        <w:top w:val="none" w:sz="0" w:space="0" w:color="auto"/>
        <w:left w:val="none" w:sz="0" w:space="0" w:color="auto"/>
        <w:bottom w:val="none" w:sz="0" w:space="0" w:color="auto"/>
        <w:right w:val="none" w:sz="0" w:space="0" w:color="auto"/>
      </w:divBdr>
    </w:div>
    <w:div w:id="1621188136">
      <w:bodyDiv w:val="1"/>
      <w:marLeft w:val="0"/>
      <w:marRight w:val="0"/>
      <w:marTop w:val="0"/>
      <w:marBottom w:val="0"/>
      <w:divBdr>
        <w:top w:val="none" w:sz="0" w:space="0" w:color="auto"/>
        <w:left w:val="none" w:sz="0" w:space="0" w:color="auto"/>
        <w:bottom w:val="none" w:sz="0" w:space="0" w:color="auto"/>
        <w:right w:val="none" w:sz="0" w:space="0" w:color="auto"/>
      </w:divBdr>
    </w:div>
    <w:div w:id="1662539777">
      <w:bodyDiv w:val="1"/>
      <w:marLeft w:val="0"/>
      <w:marRight w:val="0"/>
      <w:marTop w:val="0"/>
      <w:marBottom w:val="0"/>
      <w:divBdr>
        <w:top w:val="none" w:sz="0" w:space="0" w:color="auto"/>
        <w:left w:val="none" w:sz="0" w:space="0" w:color="auto"/>
        <w:bottom w:val="none" w:sz="0" w:space="0" w:color="auto"/>
        <w:right w:val="none" w:sz="0" w:space="0" w:color="auto"/>
      </w:divBdr>
    </w:div>
    <w:div w:id="1907102361">
      <w:bodyDiv w:val="1"/>
      <w:marLeft w:val="0"/>
      <w:marRight w:val="0"/>
      <w:marTop w:val="0"/>
      <w:marBottom w:val="0"/>
      <w:divBdr>
        <w:top w:val="none" w:sz="0" w:space="0" w:color="auto"/>
        <w:left w:val="none" w:sz="0" w:space="0" w:color="auto"/>
        <w:bottom w:val="none" w:sz="0" w:space="0" w:color="auto"/>
        <w:right w:val="none" w:sz="0" w:space="0" w:color="auto"/>
      </w:divBdr>
    </w:div>
    <w:div w:id="2021347945">
      <w:bodyDiv w:val="1"/>
      <w:marLeft w:val="0"/>
      <w:marRight w:val="0"/>
      <w:marTop w:val="0"/>
      <w:marBottom w:val="0"/>
      <w:divBdr>
        <w:top w:val="none" w:sz="0" w:space="0" w:color="auto"/>
        <w:left w:val="none" w:sz="0" w:space="0" w:color="auto"/>
        <w:bottom w:val="none" w:sz="0" w:space="0" w:color="auto"/>
        <w:right w:val="none" w:sz="0" w:space="0" w:color="auto"/>
      </w:divBdr>
    </w:div>
    <w:div w:id="203044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Gordon</dc:creator>
  <cp:keywords/>
  <dc:description/>
  <cp:lastModifiedBy>Cara Gordon</cp:lastModifiedBy>
  <cp:revision>2</cp:revision>
  <dcterms:created xsi:type="dcterms:W3CDTF">2025-07-09T14:34:00Z</dcterms:created>
  <dcterms:modified xsi:type="dcterms:W3CDTF">2025-07-09T14:34:00Z</dcterms:modified>
</cp:coreProperties>
</file>